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Common Biases that can be Harmful to you in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Stability Biases: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Status Quo bias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prefer the status quo in the absence of pressure to change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Present bias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value immediate rewards very highly and undervalue long term gains.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Loss aversion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feel losses more acutely than gains of the same amount, which makes us more risk averse than a rational calculation would recommend.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Biases related to perceiving and judging alternatives: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Confirmation Bias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fail to search impartially for evidence. We place extra value on evidence consistent with a favored belief and not enough on evidence that contradicts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Anchoring and insufficient adjustment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root our decisions on an initial value and fail to sufficiently adjust our thinking away from that value.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Groupthink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strive for consensus at the cost of a realistic alternative course of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Hubris Biases: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Excessive optimism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are overly optimistic about the outcome of planned actions. We overestimate likelihood of positive results and underestimate negative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Overconfidence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overestimate our skill relative to others, hence our ability to affect future outcomes. We take credit for the past positive results without acknowledging the role of chance or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Egocentrism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focus on our own perspective to the point that we can’t imagine how others are affected. We assume everyone has the same access to information we 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Biases related to framing alternatives;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Sunk-cost fallacy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pay attention to historical costs that are not recoverable when considering future course of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Escalation of commitment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invest additional resources in an apparent losing proposition because of the effort, money and time already invested.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Controllability bias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- We believe we can control outcomes more than is actually the case, causing us to misjudge the riskiness of a course of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